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1:00-2:30pm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9A0DBE">
        <w:rPr>
          <w:b/>
        </w:rPr>
        <w:t>January 11, 2019</w:t>
      </w:r>
    </w:p>
    <w:p w:rsidR="00A7341A" w:rsidRPr="004F2DFF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2969E4" w:rsidRDefault="002969E4" w:rsidP="002969E4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Time Certain 1:00 Building Coordinators – Guest Kim Comet</w:t>
      </w:r>
    </w:p>
    <w:p w:rsidR="002969E4" w:rsidRPr="002969E4" w:rsidRDefault="002969E4" w:rsidP="002969E4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An overview of the current Building Coordinator role will be compared to current Building Evacuation Team members. Kim Comet will provide feedback on a proposed road forward for updating the BC role.</w:t>
      </w:r>
    </w:p>
    <w:p w:rsidR="002969E4" w:rsidRPr="002969E4" w:rsidRDefault="002969E4" w:rsidP="002969E4">
      <w:pPr>
        <w:spacing w:after="0" w:line="240" w:lineRule="auto"/>
        <w:ind w:left="810" w:right="-720"/>
        <w:rPr>
          <w:b/>
          <w:szCs w:val="24"/>
        </w:rPr>
      </w:pPr>
    </w:p>
    <w:p w:rsidR="00F57C4A" w:rsidRDefault="00BF6DF7" w:rsidP="004614B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November 30</w:t>
      </w:r>
      <w:r w:rsidR="00181F6B">
        <w:rPr>
          <w:b/>
          <w:szCs w:val="24"/>
        </w:rPr>
        <w:t>,</w:t>
      </w:r>
      <w:r w:rsidR="004C1110">
        <w:rPr>
          <w:b/>
          <w:szCs w:val="24"/>
        </w:rPr>
        <w:t xml:space="preserve"> 201</w:t>
      </w:r>
      <w:r w:rsidR="00F3527A">
        <w:rPr>
          <w:b/>
          <w:szCs w:val="24"/>
        </w:rPr>
        <w:t>8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  <w:r w:rsidR="00150C03">
        <w:rPr>
          <w:b/>
          <w:szCs w:val="24"/>
        </w:rPr>
        <w:t xml:space="preserve"> </w:t>
      </w:r>
      <w:r w:rsidR="00691254">
        <w:rPr>
          <w:b/>
          <w:szCs w:val="24"/>
        </w:rPr>
        <w:t xml:space="preserve">– </w:t>
      </w:r>
      <w:r w:rsidR="00150C03">
        <w:rPr>
          <w:b/>
          <w:szCs w:val="24"/>
        </w:rPr>
        <w:t>Focused</w:t>
      </w:r>
      <w:r w:rsidR="00691254">
        <w:rPr>
          <w:b/>
          <w:szCs w:val="24"/>
        </w:rPr>
        <w:t xml:space="preserve"> meeting re: FM Cost Recovery Draft Policy</w:t>
      </w:r>
    </w:p>
    <w:p w:rsidR="00F57C4A" w:rsidRPr="00F57C4A" w:rsidRDefault="00F57C4A" w:rsidP="00F57C4A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Summarize primary concerns identified by those present at this meeting</w:t>
      </w:r>
    </w:p>
    <w:p w:rsidR="006635A0" w:rsidRPr="006635A0" w:rsidRDefault="00F57C4A" w:rsidP="006635A0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Discuss next steps</w:t>
      </w:r>
    </w:p>
    <w:p w:rsidR="00150C03" w:rsidRPr="00150C03" w:rsidRDefault="00150C03" w:rsidP="00150C03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Approve meeting minutes</w:t>
      </w:r>
      <w:r w:rsidR="00181F6B">
        <w:rPr>
          <w:b/>
          <w:szCs w:val="24"/>
        </w:rPr>
        <w:t xml:space="preserve"> 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9A6209" w:rsidRDefault="009A6209" w:rsidP="009A6209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AY1819 USFAC Details</w:t>
      </w:r>
    </w:p>
    <w:p w:rsidR="00BF6DF7" w:rsidRDefault="00BF6DF7" w:rsidP="005B2BFC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Welcome Duncan Robins – President’s Office appointment</w:t>
      </w:r>
    </w:p>
    <w:p w:rsidR="00562804" w:rsidRDefault="006A7889" w:rsidP="005B2BFC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One or two-year term</w:t>
      </w:r>
      <w:r w:rsidR="00BF6DF7">
        <w:rPr>
          <w:szCs w:val="24"/>
        </w:rPr>
        <w:t>s for appointed USFAC positions</w:t>
      </w:r>
      <w:r w:rsidR="009A0DBE">
        <w:rPr>
          <w:szCs w:val="24"/>
        </w:rPr>
        <w:t xml:space="preserve"> – Update from Mary Watson: 1 Year Appointments.</w:t>
      </w:r>
    </w:p>
    <w:p w:rsidR="00691254" w:rsidRPr="002F0B94" w:rsidRDefault="00691254" w:rsidP="005B2BFC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URPC meetings </w:t>
      </w:r>
      <w:r w:rsidR="00150C03">
        <w:rPr>
          <w:szCs w:val="24"/>
        </w:rPr>
        <w:t>will overlap with USFAC</w:t>
      </w:r>
      <w:r>
        <w:rPr>
          <w:szCs w:val="24"/>
        </w:rPr>
        <w:t xml:space="preserve"> after spring break, similar to what happened after Thanksgiving. Should we try to reschedule USFAC meeting times after Spring break to compensate? Bring your calendars.</w:t>
      </w:r>
    </w:p>
    <w:p w:rsidR="009A6209" w:rsidRPr="006A43BC" w:rsidRDefault="009A6209" w:rsidP="009A6209">
      <w:pPr>
        <w:spacing w:after="0" w:line="240" w:lineRule="auto"/>
        <w:ind w:left="810" w:right="-720"/>
        <w:rPr>
          <w:szCs w:val="24"/>
        </w:rPr>
      </w:pPr>
    </w:p>
    <w:p w:rsidR="00082CF9" w:rsidRDefault="00683B83" w:rsidP="00082CF9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 xml:space="preserve">USFAC </w:t>
      </w:r>
      <w:r w:rsidR="002D2B77">
        <w:rPr>
          <w:b/>
          <w:szCs w:val="24"/>
        </w:rPr>
        <w:t>Subcommittee</w:t>
      </w:r>
      <w:r>
        <w:rPr>
          <w:b/>
          <w:szCs w:val="24"/>
        </w:rPr>
        <w:t>s</w:t>
      </w:r>
    </w:p>
    <w:p w:rsidR="002D1BCE" w:rsidRPr="002F0B94" w:rsidRDefault="002D1BCE" w:rsidP="002D1BCE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szCs w:val="24"/>
        </w:rPr>
      </w:pPr>
      <w:r w:rsidRPr="002F0B94">
        <w:rPr>
          <w:szCs w:val="24"/>
        </w:rPr>
        <w:t>Landscape Working Group</w:t>
      </w:r>
      <w:r w:rsidR="009A0DBE">
        <w:rPr>
          <w:szCs w:val="24"/>
        </w:rPr>
        <w:t xml:space="preserve"> – Update from TC</w:t>
      </w:r>
    </w:p>
    <w:p w:rsidR="009A0DBE" w:rsidRDefault="00F80F5C" w:rsidP="00801DD0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szCs w:val="24"/>
        </w:rPr>
      </w:pPr>
      <w:r w:rsidRPr="002F0B94">
        <w:rPr>
          <w:szCs w:val="24"/>
        </w:rPr>
        <w:t>Naming Committee</w:t>
      </w:r>
    </w:p>
    <w:p w:rsidR="009A0DBE" w:rsidRDefault="009A0DBE" w:rsidP="009A0DBE">
      <w:pPr>
        <w:pStyle w:val="ListParagraph"/>
        <w:numPr>
          <w:ilvl w:val="1"/>
          <w:numId w:val="8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Craig </w:t>
      </w:r>
      <w:proofErr w:type="spellStart"/>
      <w:r>
        <w:rPr>
          <w:szCs w:val="24"/>
        </w:rPr>
        <w:t>Wruck</w:t>
      </w:r>
      <w:proofErr w:type="spellEnd"/>
      <w:r>
        <w:rPr>
          <w:szCs w:val="24"/>
        </w:rPr>
        <w:t xml:space="preserve"> agreed to review the charge and membership of the committee, which meets on an as-needed basis. </w:t>
      </w:r>
    </w:p>
    <w:p w:rsidR="00F80F5C" w:rsidRPr="009A6209" w:rsidRDefault="009A0DBE" w:rsidP="009A0DBE">
      <w:pPr>
        <w:pStyle w:val="ListParagraph"/>
        <w:numPr>
          <w:ilvl w:val="1"/>
          <w:numId w:val="8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He was open to the idea of including two new staff support members – </w:t>
      </w:r>
      <w:proofErr w:type="spellStart"/>
      <w:r>
        <w:rPr>
          <w:szCs w:val="24"/>
        </w:rPr>
        <w:t>MarCom</w:t>
      </w:r>
      <w:proofErr w:type="spellEnd"/>
      <w:r>
        <w:rPr>
          <w:szCs w:val="24"/>
        </w:rPr>
        <w:t xml:space="preserve"> Creative Director and Planning, Design &amp; Construction Director.</w:t>
      </w:r>
    </w:p>
    <w:p w:rsidR="00801DD0" w:rsidRDefault="00124966" w:rsidP="00801DD0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Sports </w:t>
      </w:r>
      <w:bookmarkStart w:id="0" w:name="_GoBack"/>
      <w:bookmarkEnd w:id="0"/>
      <w:r w:rsidR="00801DD0">
        <w:rPr>
          <w:szCs w:val="24"/>
        </w:rPr>
        <w:t>Facilities Scheduling Committee</w:t>
      </w:r>
      <w:r w:rsidR="009A0DBE">
        <w:rPr>
          <w:szCs w:val="24"/>
        </w:rPr>
        <w:t xml:space="preserve"> – Update from </w:t>
      </w:r>
      <w:r w:rsidR="00040976">
        <w:rPr>
          <w:szCs w:val="24"/>
        </w:rPr>
        <w:t>Jeanne</w:t>
      </w:r>
    </w:p>
    <w:p w:rsidR="006A7889" w:rsidRPr="00801DD0" w:rsidRDefault="00CC7AC3" w:rsidP="00801DD0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szCs w:val="24"/>
        </w:rPr>
      </w:pPr>
      <w:r w:rsidRPr="00801DD0">
        <w:rPr>
          <w:szCs w:val="24"/>
        </w:rPr>
        <w:t>Facilities Use Group</w:t>
      </w:r>
      <w:r w:rsidR="00801DD0">
        <w:rPr>
          <w:szCs w:val="24"/>
        </w:rPr>
        <w:t xml:space="preserve"> - </w:t>
      </w:r>
      <w:r w:rsidR="006A7889" w:rsidRPr="00801DD0">
        <w:rPr>
          <w:szCs w:val="24"/>
        </w:rPr>
        <w:t>Update</w:t>
      </w:r>
      <w:r w:rsidR="00801DD0" w:rsidRPr="00801DD0">
        <w:rPr>
          <w:szCs w:val="24"/>
        </w:rPr>
        <w:t xml:space="preserve"> from </w:t>
      </w:r>
      <w:r w:rsidR="00801DD0">
        <w:rPr>
          <w:szCs w:val="24"/>
        </w:rPr>
        <w:t>Jeanne</w:t>
      </w:r>
      <w:r w:rsidR="00633BAD">
        <w:rPr>
          <w:szCs w:val="24"/>
        </w:rPr>
        <w:t xml:space="preserve"> (see attached draft charge)</w:t>
      </w:r>
    </w:p>
    <w:p w:rsidR="006A7889" w:rsidRDefault="005B2BFC" w:rsidP="009A0DBE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Vacated Space Working Group</w:t>
      </w:r>
      <w:r w:rsidR="009A0DBE">
        <w:rPr>
          <w:szCs w:val="24"/>
        </w:rPr>
        <w:t xml:space="preserve"> – Update from Mike</w:t>
      </w:r>
    </w:p>
    <w:p w:rsidR="009A0DBE" w:rsidRDefault="009A0DBE" w:rsidP="009A0DBE">
      <w:pPr>
        <w:pStyle w:val="ListParagraph"/>
        <w:spacing w:after="0" w:line="240" w:lineRule="auto"/>
        <w:ind w:right="-720"/>
        <w:rPr>
          <w:szCs w:val="24"/>
        </w:rPr>
      </w:pPr>
    </w:p>
    <w:p w:rsidR="009542D9" w:rsidRPr="009542D9" w:rsidRDefault="009542D9" w:rsidP="009542D9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9542D9">
        <w:rPr>
          <w:b/>
          <w:szCs w:val="24"/>
        </w:rPr>
        <w:t xml:space="preserve">Space </w:t>
      </w:r>
      <w:r w:rsidR="00CF672C">
        <w:rPr>
          <w:b/>
          <w:szCs w:val="24"/>
        </w:rPr>
        <w:t>Management</w:t>
      </w:r>
      <w:r w:rsidR="00B965EA">
        <w:rPr>
          <w:b/>
          <w:szCs w:val="24"/>
        </w:rPr>
        <w:t xml:space="preserve"> Issues</w:t>
      </w:r>
    </w:p>
    <w:p w:rsidR="001E377E" w:rsidRPr="00181F6B" w:rsidRDefault="001E377E" w:rsidP="004908F7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181F6B">
        <w:rPr>
          <w:b/>
          <w:szCs w:val="24"/>
        </w:rPr>
        <w:t>Monthly Vacated Space Summary</w:t>
      </w:r>
      <w:r>
        <w:rPr>
          <w:b/>
          <w:szCs w:val="24"/>
        </w:rPr>
        <w:t xml:space="preserve"> (</w:t>
      </w:r>
      <w:r w:rsidR="002969E4">
        <w:rPr>
          <w:b/>
          <w:szCs w:val="24"/>
        </w:rPr>
        <w:t>November/December</w:t>
      </w:r>
      <w:r>
        <w:rPr>
          <w:b/>
          <w:szCs w:val="24"/>
        </w:rPr>
        <w:t>)</w:t>
      </w:r>
    </w:p>
    <w:p w:rsidR="00677C12" w:rsidRPr="00DF43D9" w:rsidRDefault="006A7889" w:rsidP="004908F7">
      <w:pPr>
        <w:pStyle w:val="ListParagraph"/>
        <w:numPr>
          <w:ilvl w:val="2"/>
          <w:numId w:val="3"/>
        </w:numPr>
        <w:spacing w:after="0" w:line="240" w:lineRule="auto"/>
        <w:ind w:left="1440" w:right="-720" w:hanging="360"/>
        <w:rPr>
          <w:szCs w:val="24"/>
        </w:rPr>
      </w:pPr>
      <w:r>
        <w:rPr>
          <w:szCs w:val="24"/>
        </w:rPr>
        <w:t>None to report</w:t>
      </w:r>
    </w:p>
    <w:p w:rsidR="001E377E" w:rsidRPr="00181F6B" w:rsidRDefault="001E377E" w:rsidP="004908F7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181F6B">
        <w:rPr>
          <w:b/>
          <w:szCs w:val="24"/>
        </w:rPr>
        <w:t>Monthly Capacity Change Summary</w:t>
      </w:r>
      <w:r>
        <w:rPr>
          <w:b/>
          <w:szCs w:val="24"/>
        </w:rPr>
        <w:t xml:space="preserve"> (</w:t>
      </w:r>
      <w:r w:rsidR="002969E4">
        <w:rPr>
          <w:b/>
          <w:szCs w:val="24"/>
        </w:rPr>
        <w:t>November/December</w:t>
      </w:r>
      <w:r>
        <w:rPr>
          <w:b/>
          <w:szCs w:val="24"/>
        </w:rPr>
        <w:t>)</w:t>
      </w:r>
    </w:p>
    <w:p w:rsidR="001E377E" w:rsidRDefault="00BA5052" w:rsidP="004908F7">
      <w:pPr>
        <w:pStyle w:val="ListParagraph"/>
        <w:numPr>
          <w:ilvl w:val="2"/>
          <w:numId w:val="3"/>
        </w:numPr>
        <w:spacing w:after="0" w:line="240" w:lineRule="auto"/>
        <w:ind w:left="1440" w:right="-720" w:hanging="360"/>
        <w:rPr>
          <w:szCs w:val="24"/>
        </w:rPr>
      </w:pPr>
      <w:r>
        <w:rPr>
          <w:szCs w:val="24"/>
        </w:rPr>
        <w:t>None to report</w:t>
      </w:r>
    </w:p>
    <w:p w:rsidR="001E377E" w:rsidRPr="00181F6B" w:rsidRDefault="001E377E" w:rsidP="004908F7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181F6B">
        <w:rPr>
          <w:b/>
          <w:szCs w:val="24"/>
        </w:rPr>
        <w:lastRenderedPageBreak/>
        <w:t xml:space="preserve">Monthly </w:t>
      </w:r>
      <w:r>
        <w:rPr>
          <w:b/>
          <w:szCs w:val="24"/>
        </w:rPr>
        <w:t>Space Reallocation Requests (</w:t>
      </w:r>
      <w:r w:rsidR="002969E4">
        <w:rPr>
          <w:b/>
          <w:szCs w:val="24"/>
        </w:rPr>
        <w:t>November/December</w:t>
      </w:r>
      <w:r>
        <w:rPr>
          <w:b/>
          <w:szCs w:val="24"/>
        </w:rPr>
        <w:t>)</w:t>
      </w:r>
    </w:p>
    <w:p w:rsidR="00040976" w:rsidRDefault="009A0DBE" w:rsidP="005B2BFC">
      <w:pPr>
        <w:pStyle w:val="ListParagraph"/>
        <w:numPr>
          <w:ilvl w:val="2"/>
          <w:numId w:val="3"/>
        </w:numPr>
        <w:spacing w:after="0" w:line="240" w:lineRule="auto"/>
        <w:ind w:left="1440" w:right="-720" w:hanging="360"/>
        <w:rPr>
          <w:szCs w:val="24"/>
        </w:rPr>
      </w:pPr>
      <w:r>
        <w:rPr>
          <w:szCs w:val="24"/>
        </w:rPr>
        <w:t>None to report</w:t>
      </w:r>
    </w:p>
    <w:p w:rsidR="009E2837" w:rsidRDefault="009E2837" w:rsidP="004908F7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9E2837">
        <w:rPr>
          <w:b/>
          <w:szCs w:val="24"/>
        </w:rPr>
        <w:t>Monthly Space Use Change Summary (</w:t>
      </w:r>
      <w:r w:rsidR="002969E4">
        <w:rPr>
          <w:b/>
          <w:szCs w:val="24"/>
        </w:rPr>
        <w:t>November/December</w:t>
      </w:r>
      <w:r w:rsidRPr="009E2837">
        <w:rPr>
          <w:b/>
          <w:szCs w:val="24"/>
        </w:rPr>
        <w:t>)</w:t>
      </w:r>
    </w:p>
    <w:p w:rsidR="00F57C4A" w:rsidRDefault="002969E4" w:rsidP="00F57C4A">
      <w:pPr>
        <w:pStyle w:val="ListParagraph"/>
        <w:numPr>
          <w:ilvl w:val="2"/>
          <w:numId w:val="3"/>
        </w:numPr>
        <w:spacing w:after="0" w:line="240" w:lineRule="auto"/>
        <w:ind w:left="1440" w:right="-720" w:hanging="360"/>
        <w:rPr>
          <w:szCs w:val="24"/>
        </w:rPr>
      </w:pPr>
      <w:r>
        <w:rPr>
          <w:szCs w:val="24"/>
        </w:rPr>
        <w:t>Space audits completed for NR, FR, and SH. Reports to follow.</w:t>
      </w:r>
    </w:p>
    <w:p w:rsidR="00CA2E90" w:rsidRPr="00F57C4A" w:rsidRDefault="00F57C4A" w:rsidP="00F57C4A">
      <w:pPr>
        <w:pStyle w:val="ListParagraph"/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Brief summary of Space Issues relating to NR. What is the USFAC’s role in addressing these issues?</w:t>
      </w:r>
      <w:r w:rsidR="002969E4" w:rsidRPr="00F57C4A">
        <w:rPr>
          <w:szCs w:val="24"/>
        </w:rPr>
        <w:t xml:space="preserve"> </w:t>
      </w:r>
    </w:p>
    <w:p w:rsidR="00677C12" w:rsidRDefault="000C5CB7" w:rsidP="005B2BFC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Discuss possible USFAC role in o</w:t>
      </w:r>
      <w:r w:rsidR="00677C12">
        <w:rPr>
          <w:szCs w:val="24"/>
        </w:rPr>
        <w:t xml:space="preserve">pening up exclusive use spaces for multiuse for campus </w:t>
      </w:r>
    </w:p>
    <w:p w:rsidR="00677C12" w:rsidRDefault="00677C12" w:rsidP="005B2BFC">
      <w:pPr>
        <w:pStyle w:val="ListParagraph"/>
        <w:numPr>
          <w:ilvl w:val="2"/>
          <w:numId w:val="3"/>
        </w:numPr>
        <w:spacing w:after="0" w:line="240" w:lineRule="auto"/>
        <w:ind w:left="1440" w:right="-720" w:hanging="360"/>
        <w:rPr>
          <w:szCs w:val="24"/>
        </w:rPr>
      </w:pPr>
      <w:r>
        <w:rPr>
          <w:szCs w:val="24"/>
        </w:rPr>
        <w:t>Including conference rooms &amp; classrooms, etc…</w:t>
      </w:r>
    </w:p>
    <w:p w:rsidR="009E2837" w:rsidRDefault="000C5CB7" w:rsidP="005B2BFC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Update o</w:t>
      </w:r>
      <w:r w:rsidR="009E2837">
        <w:rPr>
          <w:szCs w:val="24"/>
        </w:rPr>
        <w:t xml:space="preserve">n campus space topics </w:t>
      </w:r>
    </w:p>
    <w:p w:rsidR="00BA4ADD" w:rsidRDefault="00BA4ADD" w:rsidP="005B2BFC">
      <w:pPr>
        <w:pStyle w:val="ListParagraph"/>
        <w:numPr>
          <w:ilvl w:val="2"/>
          <w:numId w:val="3"/>
        </w:numPr>
        <w:spacing w:after="0" w:line="240" w:lineRule="auto"/>
        <w:ind w:left="1440" w:right="-720" w:hanging="360"/>
        <w:rPr>
          <w:szCs w:val="24"/>
        </w:rPr>
      </w:pPr>
      <w:r>
        <w:rPr>
          <w:szCs w:val="24"/>
        </w:rPr>
        <w:t>Classroom furniture issues</w:t>
      </w:r>
    </w:p>
    <w:p w:rsidR="00BA4ADD" w:rsidRDefault="00BA4ADD" w:rsidP="005B2BFC">
      <w:pPr>
        <w:pStyle w:val="ListParagraph"/>
        <w:numPr>
          <w:ilvl w:val="3"/>
          <w:numId w:val="3"/>
        </w:numPr>
        <w:spacing w:after="0" w:line="240" w:lineRule="auto"/>
        <w:ind w:left="1800" w:right="-720"/>
        <w:rPr>
          <w:szCs w:val="24"/>
        </w:rPr>
      </w:pPr>
      <w:r>
        <w:rPr>
          <w:szCs w:val="24"/>
        </w:rPr>
        <w:t xml:space="preserve">Much of our classroom furniture is </w:t>
      </w:r>
      <w:r w:rsidR="000C5CB7">
        <w:rPr>
          <w:szCs w:val="24"/>
        </w:rPr>
        <w:t xml:space="preserve">nearing the end of </w:t>
      </w:r>
      <w:r w:rsidR="001862BE">
        <w:rPr>
          <w:szCs w:val="24"/>
        </w:rPr>
        <w:t>the</w:t>
      </w:r>
      <w:r w:rsidR="000C5CB7">
        <w:rPr>
          <w:szCs w:val="24"/>
        </w:rPr>
        <w:t xml:space="preserve"> lifecycle. When common teaching spaces need furniture refreshes, where is that budgeted? Does USFAC have a role to play in ensuring students have appropriate classroom furniture?</w:t>
      </w:r>
      <w:r w:rsidR="001862BE">
        <w:rPr>
          <w:szCs w:val="24"/>
        </w:rPr>
        <w:t xml:space="preserve"> (Classroom refresh project)</w:t>
      </w:r>
    </w:p>
    <w:p w:rsidR="00143F4B" w:rsidRDefault="00BA4ADD" w:rsidP="005B2BFC">
      <w:pPr>
        <w:pStyle w:val="ListParagraph"/>
        <w:numPr>
          <w:ilvl w:val="3"/>
          <w:numId w:val="3"/>
        </w:numPr>
        <w:spacing w:after="0" w:line="240" w:lineRule="auto"/>
        <w:ind w:left="1800" w:right="-720"/>
        <w:rPr>
          <w:szCs w:val="24"/>
        </w:rPr>
      </w:pPr>
      <w:r>
        <w:rPr>
          <w:szCs w:val="24"/>
        </w:rPr>
        <w:t>Many spaces do not have adequate seating because users are moving tables and chairs between spaces</w:t>
      </w:r>
      <w:r w:rsidR="00CA2E90">
        <w:rPr>
          <w:szCs w:val="24"/>
        </w:rPr>
        <w:t xml:space="preserve"> – sometimes outside of building</w:t>
      </w:r>
      <w:r>
        <w:rPr>
          <w:szCs w:val="24"/>
        </w:rPr>
        <w:t xml:space="preserve">. </w:t>
      </w:r>
      <w:r w:rsidR="000C5CB7">
        <w:rPr>
          <w:szCs w:val="24"/>
        </w:rPr>
        <w:t xml:space="preserve">Can USFAC help </w:t>
      </w:r>
      <w:r w:rsidR="00CA2E90">
        <w:rPr>
          <w:szCs w:val="24"/>
        </w:rPr>
        <w:t>motivate change and/or awareness of</w:t>
      </w:r>
      <w:r w:rsidR="000C5CB7">
        <w:rPr>
          <w:szCs w:val="24"/>
        </w:rPr>
        <w:t xml:space="preserve"> this issue</w:t>
      </w:r>
      <w:r w:rsidR="00F57C4A">
        <w:rPr>
          <w:szCs w:val="24"/>
        </w:rPr>
        <w:t xml:space="preserve"> as the new semester starts</w:t>
      </w:r>
      <w:r w:rsidR="000C5CB7">
        <w:rPr>
          <w:szCs w:val="24"/>
        </w:rPr>
        <w:t xml:space="preserve">? </w:t>
      </w:r>
    </w:p>
    <w:p w:rsidR="00F57C4A" w:rsidRDefault="00F57C4A" w:rsidP="00F57C4A">
      <w:pPr>
        <w:pStyle w:val="ListParagraph"/>
        <w:spacing w:after="0" w:line="240" w:lineRule="auto"/>
        <w:ind w:left="1800" w:right="-720"/>
        <w:rPr>
          <w:szCs w:val="24"/>
        </w:rPr>
      </w:pPr>
    </w:p>
    <w:p w:rsidR="009E2837" w:rsidRPr="00F57C4A" w:rsidRDefault="00F57C4A" w:rsidP="009E2837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Physical </w:t>
      </w:r>
      <w:r w:rsidR="009E2837" w:rsidRPr="009E2837">
        <w:rPr>
          <w:b/>
          <w:szCs w:val="24"/>
        </w:rPr>
        <w:t xml:space="preserve">Master Plan </w:t>
      </w:r>
      <w:r w:rsidR="009E2837">
        <w:rPr>
          <w:b/>
          <w:szCs w:val="24"/>
        </w:rPr>
        <w:t>Update</w:t>
      </w:r>
      <w:r w:rsidR="009646FD">
        <w:rPr>
          <w:szCs w:val="24"/>
        </w:rPr>
        <w:t xml:space="preserve"> – </w:t>
      </w:r>
      <w:r w:rsidR="00391627">
        <w:rPr>
          <w:szCs w:val="24"/>
        </w:rPr>
        <w:t>Mike to update group</w:t>
      </w:r>
    </w:p>
    <w:p w:rsidR="00F57C4A" w:rsidRDefault="00F57C4A" w:rsidP="00F57C4A">
      <w:pPr>
        <w:pStyle w:val="ListParagraph"/>
        <w:spacing w:after="0" w:line="240" w:lineRule="auto"/>
        <w:ind w:left="90" w:right="-720"/>
        <w:rPr>
          <w:b/>
          <w:szCs w:val="24"/>
        </w:rPr>
      </w:pPr>
    </w:p>
    <w:p w:rsidR="009E2837" w:rsidRPr="00F57C4A" w:rsidRDefault="009E2837" w:rsidP="009E2837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Capital Outlay Plan</w:t>
      </w:r>
      <w:r w:rsidR="009646FD">
        <w:rPr>
          <w:b/>
          <w:szCs w:val="24"/>
        </w:rPr>
        <w:t xml:space="preserve"> </w:t>
      </w:r>
      <w:r w:rsidR="00391627">
        <w:rPr>
          <w:szCs w:val="24"/>
        </w:rPr>
        <w:t>– N</w:t>
      </w:r>
      <w:r w:rsidR="009646FD">
        <w:rPr>
          <w:szCs w:val="24"/>
        </w:rPr>
        <w:t>o updates</w:t>
      </w:r>
    </w:p>
    <w:p w:rsidR="00F57C4A" w:rsidRPr="00F57C4A" w:rsidRDefault="00F57C4A" w:rsidP="00F57C4A">
      <w:pPr>
        <w:spacing w:after="0" w:line="240" w:lineRule="auto"/>
        <w:ind w:right="-720"/>
        <w:rPr>
          <w:b/>
          <w:szCs w:val="24"/>
        </w:rPr>
      </w:pPr>
    </w:p>
    <w:p w:rsidR="005B2BFC" w:rsidRDefault="005B2BFC" w:rsidP="009E2837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Oth</w:t>
      </w:r>
      <w:r w:rsidR="00F57C4A">
        <w:rPr>
          <w:b/>
          <w:szCs w:val="24"/>
        </w:rPr>
        <w:t>er Space &amp; Facilities Topics</w:t>
      </w:r>
    </w:p>
    <w:p w:rsidR="00F562C9" w:rsidRDefault="00633BAD" w:rsidP="005B2BFC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SFDB </w:t>
      </w:r>
      <w:r w:rsidR="00F57C4A">
        <w:rPr>
          <w:szCs w:val="24"/>
        </w:rPr>
        <w:t>Space Type Definition Overview</w:t>
      </w:r>
    </w:p>
    <w:p w:rsidR="00F57C4A" w:rsidRPr="005B2BFC" w:rsidRDefault="00F57C4A" w:rsidP="005B2BFC">
      <w:pPr>
        <w:pStyle w:val="ListParagraph"/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Space Use Calculation Demonstration (classrooms)</w:t>
      </w:r>
    </w:p>
    <w:p w:rsidR="000C5CB7" w:rsidRPr="000C5CB7" w:rsidRDefault="000C5CB7" w:rsidP="000C5CB7">
      <w:pPr>
        <w:pStyle w:val="ListParagraph"/>
        <w:spacing w:after="0" w:line="240" w:lineRule="auto"/>
        <w:ind w:left="1530"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9666C9" w:rsidRPr="00444411" w:rsidRDefault="009666C9" w:rsidP="009666C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color w:val="000000" w:themeColor="text1"/>
          <w:szCs w:val="24"/>
        </w:rPr>
      </w:pPr>
      <w:r w:rsidRPr="00444411">
        <w:rPr>
          <w:color w:val="000000" w:themeColor="text1"/>
          <w:szCs w:val="24"/>
        </w:rPr>
        <w:t>Formalization of our Mural approval process and guidelines</w:t>
      </w:r>
    </w:p>
    <w:p w:rsidR="008208F3" w:rsidRPr="000C1E16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Utilization Models – ASF/FTE Model and the Station Count Model</w:t>
      </w:r>
    </w:p>
    <w:p w:rsidR="00691254" w:rsidRPr="00691254" w:rsidRDefault="00647639" w:rsidP="00691254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Extension of FM Project prioritization process to include horizontal priorities</w:t>
      </w:r>
    </w:p>
    <w:p w:rsidR="00082CF9" w:rsidRDefault="00082CF9" w:rsidP="008D33F3">
      <w:pPr>
        <w:spacing w:after="0" w:line="240" w:lineRule="auto"/>
        <w:ind w:right="-720"/>
        <w:rPr>
          <w:b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716C3F">
        <w:rPr>
          <w:b/>
          <w:szCs w:val="24"/>
        </w:rPr>
        <w:t>ATTACHMENTS</w:t>
      </w:r>
      <w:r w:rsidR="00F80F5C">
        <w:rPr>
          <w:b/>
          <w:szCs w:val="24"/>
        </w:rPr>
        <w:t xml:space="preserve"> &amp; LINKS</w:t>
      </w:r>
    </w:p>
    <w:p w:rsidR="00F57C4A" w:rsidRDefault="00F57C4A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Building Coordinator current list of duties (</w:t>
      </w:r>
      <w:hyperlink r:id="rId9" w:history="1">
        <w:r w:rsidRPr="00F57C4A">
          <w:rPr>
            <w:rStyle w:val="Hyperlink"/>
            <w:szCs w:val="24"/>
          </w:rPr>
          <w:t>FM Website</w:t>
        </w:r>
      </w:hyperlink>
      <w:r>
        <w:rPr>
          <w:szCs w:val="24"/>
        </w:rPr>
        <w:t>)</w:t>
      </w:r>
    </w:p>
    <w:p w:rsidR="00633BAD" w:rsidRDefault="00633BA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Facilities Use Group Subcommittee Draft Charge</w:t>
      </w:r>
    </w:p>
    <w:p w:rsidR="00040976" w:rsidRDefault="0086240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November 30, 2018</w:t>
      </w:r>
      <w:r w:rsidR="002969E4">
        <w:rPr>
          <w:szCs w:val="24"/>
        </w:rPr>
        <w:t xml:space="preserve"> Minutes (Special meeting to discuss FM Cost Recovery Draft Policy)</w:t>
      </w:r>
    </w:p>
    <w:p w:rsidR="002969E4" w:rsidRPr="007010AF" w:rsidRDefault="00633BAD" w:rsidP="007010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Space &amp; Facilities Data Base (SFDB) </w:t>
      </w:r>
      <w:r w:rsidR="00F57C4A">
        <w:rPr>
          <w:szCs w:val="24"/>
        </w:rPr>
        <w:t>Space Type Definitions</w:t>
      </w:r>
      <w:r>
        <w:rPr>
          <w:szCs w:val="24"/>
        </w:rPr>
        <w:t xml:space="preserve"> (from the Chancellor’s Office)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1A446A">
        <w:rPr>
          <w:b/>
          <w:szCs w:val="24"/>
        </w:rPr>
        <w:t>Next</w:t>
      </w:r>
      <w:r w:rsidR="00040976">
        <w:rPr>
          <w:b/>
          <w:szCs w:val="24"/>
        </w:rPr>
        <w:t xml:space="preserve"> </w:t>
      </w:r>
      <w:r w:rsidR="00ED0191">
        <w:rPr>
          <w:b/>
          <w:szCs w:val="24"/>
        </w:rPr>
        <w:t xml:space="preserve">Focused </w:t>
      </w:r>
      <w:r w:rsidR="002F689E">
        <w:rPr>
          <w:b/>
          <w:szCs w:val="24"/>
        </w:rPr>
        <w:t xml:space="preserve">USFAC meeting </w:t>
      </w:r>
      <w:r w:rsidR="00F57C4A">
        <w:rPr>
          <w:b/>
          <w:szCs w:val="24"/>
        </w:rPr>
        <w:t>scheduled for January</w:t>
      </w:r>
      <w:r w:rsidR="009666C9">
        <w:rPr>
          <w:b/>
          <w:szCs w:val="24"/>
        </w:rPr>
        <w:t xml:space="preserve"> </w:t>
      </w:r>
      <w:r w:rsidR="00F57C4A">
        <w:rPr>
          <w:b/>
          <w:szCs w:val="24"/>
        </w:rPr>
        <w:t>25</w:t>
      </w:r>
      <w:r w:rsidR="00860C10">
        <w:rPr>
          <w:b/>
          <w:szCs w:val="24"/>
        </w:rPr>
        <w:t>, 201</w:t>
      </w:r>
      <w:r w:rsidR="00691254">
        <w:rPr>
          <w:b/>
          <w:szCs w:val="24"/>
        </w:rPr>
        <w:t>9</w:t>
      </w:r>
      <w:r w:rsidR="00860C10">
        <w:rPr>
          <w:b/>
          <w:szCs w:val="24"/>
        </w:rPr>
        <w:t xml:space="preserve">, </w:t>
      </w:r>
      <w:r w:rsidR="009666C9">
        <w:rPr>
          <w:b/>
          <w:szCs w:val="24"/>
        </w:rPr>
        <w:t>1:00</w:t>
      </w:r>
      <w:r w:rsidR="00860C10">
        <w:rPr>
          <w:b/>
          <w:szCs w:val="24"/>
        </w:rPr>
        <w:t>-</w:t>
      </w:r>
      <w:r w:rsidR="009666C9">
        <w:rPr>
          <w:b/>
          <w:szCs w:val="24"/>
        </w:rPr>
        <w:t>2:</w:t>
      </w:r>
      <w:r w:rsidR="00ED0191">
        <w:rPr>
          <w:b/>
          <w:szCs w:val="24"/>
        </w:rPr>
        <w:t>0</w:t>
      </w:r>
      <w:r w:rsidR="00CF672C">
        <w:rPr>
          <w:b/>
          <w:szCs w:val="24"/>
        </w:rPr>
        <w:t>0</w:t>
      </w:r>
      <w:r w:rsidR="009666C9">
        <w:rPr>
          <w:b/>
          <w:szCs w:val="24"/>
        </w:rPr>
        <w:t>PM</w:t>
      </w:r>
      <w:r w:rsidR="00860C10">
        <w:rPr>
          <w:b/>
          <w:szCs w:val="24"/>
        </w:rPr>
        <w:t>, SBS_405</w:t>
      </w:r>
      <w:r w:rsidR="00ED0191">
        <w:rPr>
          <w:b/>
          <w:szCs w:val="24"/>
        </w:rPr>
        <w:t xml:space="preserve">. Next Full USFAC meeting is </w:t>
      </w:r>
      <w:r w:rsidR="00691254">
        <w:rPr>
          <w:b/>
          <w:szCs w:val="24"/>
        </w:rPr>
        <w:t>February 8, 2019</w:t>
      </w:r>
      <w:r w:rsidR="00ED0191">
        <w:rPr>
          <w:b/>
          <w:szCs w:val="24"/>
        </w:rPr>
        <w:t>, 1:00-2:30PM, SBS_405.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9A" w:rsidRDefault="00CA519A" w:rsidP="00A351B6">
      <w:pPr>
        <w:spacing w:after="0" w:line="240" w:lineRule="auto"/>
      </w:pPr>
      <w:r>
        <w:separator/>
      </w:r>
    </w:p>
  </w:endnote>
  <w:end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9A" w:rsidRDefault="00CA519A" w:rsidP="00A351B6">
      <w:pPr>
        <w:spacing w:after="0" w:line="240" w:lineRule="auto"/>
      </w:pPr>
      <w:r>
        <w:separator/>
      </w:r>
    </w:p>
  </w:footnote>
  <w:footnote w:type="continuationSeparator" w:id="0">
    <w:p w:rsidR="00CA519A" w:rsidRDefault="00CA519A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651E"/>
    <w:rsid w:val="00082CF9"/>
    <w:rsid w:val="00082F06"/>
    <w:rsid w:val="000A282E"/>
    <w:rsid w:val="000A29CB"/>
    <w:rsid w:val="000B10AD"/>
    <w:rsid w:val="000B2732"/>
    <w:rsid w:val="000C1478"/>
    <w:rsid w:val="000C1E16"/>
    <w:rsid w:val="000C5CB7"/>
    <w:rsid w:val="000D062E"/>
    <w:rsid w:val="000D3DAF"/>
    <w:rsid w:val="000E0EE0"/>
    <w:rsid w:val="00102E5D"/>
    <w:rsid w:val="00103753"/>
    <w:rsid w:val="00110E5A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D1BCE"/>
    <w:rsid w:val="002D2B77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64C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5967"/>
    <w:rsid w:val="00795F74"/>
    <w:rsid w:val="007A372F"/>
    <w:rsid w:val="007C318E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C10"/>
    <w:rsid w:val="00861978"/>
    <w:rsid w:val="0086240D"/>
    <w:rsid w:val="008A3670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351B6"/>
    <w:rsid w:val="00A360FE"/>
    <w:rsid w:val="00A41179"/>
    <w:rsid w:val="00A43A87"/>
    <w:rsid w:val="00A45677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76AB"/>
    <w:rsid w:val="00C250E4"/>
    <w:rsid w:val="00C32F78"/>
    <w:rsid w:val="00C333E8"/>
    <w:rsid w:val="00C55D01"/>
    <w:rsid w:val="00C7729A"/>
    <w:rsid w:val="00C90A86"/>
    <w:rsid w:val="00C921ED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614A1"/>
    <w:rsid w:val="00D70311"/>
    <w:rsid w:val="00D75962"/>
    <w:rsid w:val="00D8400E"/>
    <w:rsid w:val="00D85409"/>
    <w:rsid w:val="00D936D2"/>
    <w:rsid w:val="00DC433E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8475A"/>
    <w:rsid w:val="00EB278B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F5C"/>
    <w:rsid w:val="00F96063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FAE5C6D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ilitymgmt.humboldt.edu/building-coordinat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09B0C-1AD3-4B4A-AD1E-53FFA7C4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247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7</cp:revision>
  <cp:lastPrinted>2018-08-13T21:27:00Z</cp:lastPrinted>
  <dcterms:created xsi:type="dcterms:W3CDTF">2019-01-11T16:07:00Z</dcterms:created>
  <dcterms:modified xsi:type="dcterms:W3CDTF">2019-01-11T22:36:00Z</dcterms:modified>
</cp:coreProperties>
</file>